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4993F">
      <w:pPr>
        <w:pStyle w:val="2"/>
        <w:ind w:left="0" w:leftChars="0" w:firstLine="0" w:firstLineChars="0"/>
        <w:rPr>
          <w:rFonts w:hint="default" w:ascii="仿宋_GB2312" w:hAnsi="TimesNewRoman" w:eastAsia="仿宋_GB2312" w:cs="仿宋-WinCharSetFFFF-H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bookmarkStart w:id="0" w:name="_GoBack"/>
      <w:r>
        <w:rPr>
          <w:rFonts w:hint="eastAsia" w:ascii="仿宋_GB2312" w:hAnsi="TimesNewRoman" w:eastAsia="仿宋_GB2312" w:cs="仿宋-WinCharSetFFFF-H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附件3</w:t>
      </w:r>
    </w:p>
    <w:p w14:paraId="4AC54194">
      <w:pPr>
        <w:shd w:val="clear" w:color="auto" w:fill="FFFFFF"/>
        <w:spacing w:line="560" w:lineRule="exact"/>
        <w:ind w:firstLine="0" w:firstLineChars="0"/>
        <w:jc w:val="center"/>
        <w:rPr>
          <w:rFonts w:hint="eastAsia" w:ascii="宋体" w:hAnsi="宋体" w:cs="宋体"/>
          <w:b w:val="0"/>
          <w:bCs w:val="0"/>
          <w:color w:val="auto"/>
          <w:sz w:val="44"/>
          <w:szCs w:val="44"/>
        </w:rPr>
      </w:pPr>
      <w:r>
        <w:rPr>
          <w:rFonts w:hint="eastAsia" w:ascii="宋体" w:hAnsi="宋体" w:cs="宋体"/>
          <w:b w:val="0"/>
          <w:bCs w:val="0"/>
          <w:color w:val="auto"/>
          <w:sz w:val="44"/>
          <w:szCs w:val="44"/>
          <w:lang w:val="en-US" w:eastAsia="zh-CN"/>
        </w:rPr>
        <w:t>海旅01游船清吧项目招商比选</w:t>
      </w:r>
      <w:r>
        <w:rPr>
          <w:rFonts w:hint="eastAsia" w:ascii="宋体" w:hAnsi="宋体" w:cs="宋体"/>
          <w:b w:val="0"/>
          <w:bCs w:val="0"/>
          <w:color w:val="auto"/>
          <w:sz w:val="44"/>
          <w:szCs w:val="44"/>
        </w:rPr>
        <w:t>评审表</w:t>
      </w:r>
    </w:p>
    <w:bookmarkEnd w:id="0"/>
    <w:tbl>
      <w:tblPr>
        <w:tblStyle w:val="3"/>
        <w:tblpPr w:leftFromText="180" w:rightFromText="180" w:vertAnchor="text" w:horzAnchor="page" w:tblpX="1317" w:tblpY="372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041"/>
        <w:gridCol w:w="2762"/>
        <w:gridCol w:w="729"/>
        <w:gridCol w:w="3271"/>
      </w:tblGrid>
      <w:tr w14:paraId="7709E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25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40404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评分细则（总分</w:t>
            </w:r>
            <w:r>
              <w:rPr>
                <w:rFonts w:ascii="Segoe UI" w:hAnsi="Segoe UI" w:eastAsia="Segoe UI" w:cs="Segoe UI"/>
                <w:i w:val="0"/>
                <w:iCs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404040"/>
                <w:kern w:val="0"/>
                <w:sz w:val="28"/>
                <w:szCs w:val="28"/>
                <w:u w:val="none"/>
                <w:lang w:val="en-US" w:eastAsia="zh-CN" w:bidi="ar"/>
              </w:rPr>
              <w:t>分）</w:t>
            </w:r>
          </w:p>
        </w:tc>
      </w:tr>
      <w:tr w14:paraId="50D01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99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40404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0404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B5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40404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04040"/>
                <w:kern w:val="0"/>
                <w:sz w:val="22"/>
                <w:szCs w:val="22"/>
                <w:u w:val="none"/>
                <w:lang w:val="en-US" w:eastAsia="zh-CN" w:bidi="ar"/>
              </w:rPr>
              <w:t>评分项目</w:t>
            </w:r>
          </w:p>
        </w:tc>
        <w:tc>
          <w:tcPr>
            <w:tcW w:w="1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5C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40404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04040"/>
                <w:kern w:val="0"/>
                <w:sz w:val="22"/>
                <w:szCs w:val="22"/>
                <w:u w:val="none"/>
                <w:lang w:val="en-US" w:eastAsia="zh-CN" w:bidi="ar"/>
              </w:rPr>
              <w:t>评分内容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BE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40404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04040"/>
                <w:kern w:val="0"/>
                <w:sz w:val="22"/>
                <w:szCs w:val="22"/>
                <w:u w:val="none"/>
                <w:lang w:val="en-US" w:eastAsia="zh-CN" w:bidi="ar"/>
              </w:rPr>
              <w:t>分数</w:t>
            </w: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DB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40404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404040"/>
                <w:kern w:val="0"/>
                <w:sz w:val="22"/>
                <w:szCs w:val="22"/>
                <w:u w:val="none"/>
                <w:lang w:val="en-US" w:eastAsia="zh-CN" w:bidi="ar"/>
              </w:rPr>
              <w:t>评分标准</w:t>
            </w:r>
          </w:p>
        </w:tc>
      </w:tr>
      <w:tr w14:paraId="3CBC5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27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4A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企业实力（30分） 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C20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 行业经验案例</w:t>
            </w:r>
          </w:p>
        </w:tc>
        <w:tc>
          <w:tcPr>
            <w:tcW w:w="1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554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提供过往清吧/餐饮类项目合作案例</w:t>
            </w:r>
          </w:p>
          <w:p w14:paraId="7B93D7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（需合同或合作证明）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CE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10分</w:t>
            </w: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E79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每项有效案例得5分，最高10分（需提供合同复印件并盖章）</w:t>
            </w:r>
          </w:p>
        </w:tc>
      </w:tr>
      <w:tr w14:paraId="3D566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86D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E79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 年度营收</w:t>
            </w:r>
          </w:p>
        </w:tc>
        <w:tc>
          <w:tcPr>
            <w:tcW w:w="16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6E4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近2年年营业收入</w:t>
            </w:r>
          </w:p>
        </w:tc>
        <w:tc>
          <w:tcPr>
            <w:tcW w:w="4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DB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10分</w:t>
            </w: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8C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优（10分）：≥200万元</w:t>
            </w:r>
          </w:p>
        </w:tc>
      </w:tr>
      <w:tr w14:paraId="39C87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D70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F235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F656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E7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C37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良（6分）：150-199万元</w:t>
            </w:r>
          </w:p>
        </w:tc>
      </w:tr>
      <w:tr w14:paraId="705C6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F75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BBAA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370C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93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D4C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中（2分）：&lt;150万元（需近两年审计报告/纳税证明）</w:t>
            </w:r>
          </w:p>
        </w:tc>
      </w:tr>
      <w:tr w14:paraId="1A1BB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A3A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0F6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 品牌影响力</w:t>
            </w:r>
          </w:p>
        </w:tc>
        <w:tc>
          <w:tcPr>
            <w:tcW w:w="16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A72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线上平台口碑（携程/美团/抖音等）</w:t>
            </w:r>
          </w:p>
        </w:tc>
        <w:tc>
          <w:tcPr>
            <w:tcW w:w="4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79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10分</w:t>
            </w: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5D0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优（10分）：2个以上平台评分≥4.6</w:t>
            </w:r>
          </w:p>
        </w:tc>
      </w:tr>
      <w:tr w14:paraId="333B5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20D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1630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9FEA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21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1F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良（6分）：1个以上平台评分≥4.4</w:t>
            </w:r>
          </w:p>
        </w:tc>
      </w:tr>
      <w:tr w14:paraId="56259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B6C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3E52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53C0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0D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212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中（2分）：1个以上平台评分≥4.0</w:t>
            </w:r>
          </w:p>
        </w:tc>
      </w:tr>
      <w:tr w14:paraId="5EF54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D1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产品策划（20分）</w:t>
            </w:r>
          </w:p>
        </w:tc>
        <w:tc>
          <w:tcPr>
            <w:tcW w:w="6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8EE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 主题契合度</w:t>
            </w:r>
          </w:p>
        </w:tc>
        <w:tc>
          <w:tcPr>
            <w:tcW w:w="16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0FA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清吧主题与游船高端度假定位的匹配度</w:t>
            </w:r>
          </w:p>
        </w:tc>
        <w:tc>
          <w:tcPr>
            <w:tcW w:w="4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FB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10分</w:t>
            </w: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FB5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优（8-10分）：主题鲜明且深度融合海南元素</w:t>
            </w:r>
          </w:p>
        </w:tc>
      </w:tr>
      <w:tr w14:paraId="5D8AD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76B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6CD4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5507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43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D63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良（4-7分）：主题合理但缺乏特色</w:t>
            </w:r>
          </w:p>
        </w:tc>
      </w:tr>
      <w:tr w14:paraId="521BE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B41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1485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3599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55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E52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中（0-3分）：主题定位不匹配</w:t>
            </w:r>
          </w:p>
        </w:tc>
      </w:tr>
      <w:tr w14:paraId="38DF1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078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E9C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 营销引流方案</w:t>
            </w:r>
          </w:p>
        </w:tc>
        <w:tc>
          <w:tcPr>
            <w:tcW w:w="16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0A8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客群定位、推广计划、线上线下引流策略</w:t>
            </w:r>
          </w:p>
        </w:tc>
        <w:tc>
          <w:tcPr>
            <w:tcW w:w="40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D1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10分</w:t>
            </w: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D97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优（8-10分）：方案创新且可执行性强</w:t>
            </w:r>
          </w:p>
        </w:tc>
      </w:tr>
      <w:tr w14:paraId="6F65F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81C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C3F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24E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2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649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良（4-7分）：方案完整但吸引力不足</w:t>
            </w:r>
          </w:p>
        </w:tc>
      </w:tr>
      <w:tr w14:paraId="69883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5C3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A58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8EA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AA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E62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中（0-3分）：方案空洞或脱节</w:t>
            </w:r>
          </w:p>
        </w:tc>
      </w:tr>
      <w:tr w14:paraId="7D4EC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4E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安全保障（20分）</w:t>
            </w:r>
          </w:p>
        </w:tc>
        <w:tc>
          <w:tcPr>
            <w:tcW w:w="6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98E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 安全管理及应急方案</w:t>
            </w:r>
          </w:p>
        </w:tc>
        <w:tc>
          <w:tcPr>
            <w:tcW w:w="162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F4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人员安全培训、设备维护、应急预案（含消防/落水/医疗等）</w:t>
            </w:r>
          </w:p>
        </w:tc>
        <w:tc>
          <w:tcPr>
            <w:tcW w:w="407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43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  <w:tc>
          <w:tcPr>
            <w:tcW w:w="192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68D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优（16-20分）：安全方案全面且思维缜密</w:t>
            </w:r>
          </w:p>
        </w:tc>
      </w:tr>
      <w:tr w14:paraId="715A2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D1A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F40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9C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B2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2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122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良（10-15分）：基础方案完整，可执行性一般</w:t>
            </w:r>
          </w:p>
        </w:tc>
      </w:tr>
      <w:tr w14:paraId="679E3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C95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C37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EEA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650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2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F58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中（0-9分）：缺失关键环节和办法</w:t>
            </w:r>
          </w:p>
        </w:tc>
      </w:tr>
      <w:tr w14:paraId="362B1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C35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分成报价（30分）</w:t>
            </w:r>
          </w:p>
        </w:tc>
        <w:tc>
          <w:tcPr>
            <w:tcW w:w="6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8D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 分成报价</w:t>
            </w:r>
          </w:p>
        </w:tc>
        <w:tc>
          <w:tcPr>
            <w:tcW w:w="1626" w:type="pct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20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按照分成比例从高到低依次排序，竞选分成比例报价最高的得满分，排名及分数如下：第一名30分，第二名20分，第三名10分.（取前3名，其余不得分），报价相同的竞选人得分相同。</w:t>
            </w:r>
          </w:p>
        </w:tc>
        <w:tc>
          <w:tcPr>
            <w:tcW w:w="4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BC7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40404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404040"/>
                <w:kern w:val="0"/>
                <w:sz w:val="22"/>
                <w:szCs w:val="22"/>
                <w:u w:val="none"/>
                <w:lang w:val="en-US" w:eastAsia="zh-CN" w:bidi="ar"/>
              </w:rPr>
              <w:t>30分</w:t>
            </w:r>
          </w:p>
        </w:tc>
        <w:tc>
          <w:tcPr>
            <w:tcW w:w="192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1FB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40404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最高报价得30分</w:t>
            </w:r>
          </w:p>
        </w:tc>
      </w:tr>
      <w:tr w14:paraId="033B3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6F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985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323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4A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40404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2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FD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40404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次高报价得20分</w:t>
            </w:r>
          </w:p>
        </w:tc>
      </w:tr>
      <w:tr w14:paraId="41F21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14F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4E6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E8C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53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40404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2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50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40404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第三报价得10分</w:t>
            </w:r>
          </w:p>
        </w:tc>
      </w:tr>
      <w:tr w14:paraId="27040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05DA2">
            <w:pP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其他说明：</w:t>
            </w:r>
          </w:p>
          <w:p w14:paraId="5D486813">
            <w:pP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1.一票否决项：资质造假；运营方案中出现违法违规内容；</w:t>
            </w:r>
          </w:p>
          <w:p w14:paraId="50E45B0D">
            <w:pPr>
              <w:keepNext w:val="0"/>
              <w:keepLines w:val="0"/>
              <w:widowControl/>
              <w:suppressLineNumbers w:val="0"/>
              <w:tabs>
                <w:tab w:val="left" w:pos="2078"/>
              </w:tabs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.材料真实性：如发现虚假材料（如伪造案例），立即取消资格并追究责任（依据《承诺书》条款）。</w:t>
            </w:r>
          </w:p>
        </w:tc>
      </w:tr>
    </w:tbl>
    <w:p w14:paraId="56C1965D">
      <w:pPr>
        <w:rPr>
          <w:highlight w:val="none"/>
        </w:rPr>
      </w:pPr>
    </w:p>
    <w:p w14:paraId="086A30E3">
      <w:pPr>
        <w:rPr>
          <w:rFonts w:hint="default" w:ascii="仿宋_GB2312" w:hAnsi="TimesNewRoman" w:eastAsia="仿宋_GB2312" w:cs="仿宋-WinCharSetFFFF-H"/>
          <w:b w:val="0"/>
          <w:bCs w:val="0"/>
          <w:color w:val="FF0000"/>
          <w:kern w:val="0"/>
          <w:sz w:val="32"/>
          <w:szCs w:val="32"/>
          <w:lang w:val="en-US" w:eastAsia="zh-CN"/>
        </w:rPr>
      </w:pPr>
      <w:r>
        <w:rPr>
          <w:rFonts w:hint="default" w:ascii="仿宋_GB2312" w:hAnsi="TimesNewRoman" w:eastAsia="仿宋_GB2312" w:cs="仿宋-WinCharSetFFFF-H"/>
          <w:b w:val="0"/>
          <w:bCs w:val="0"/>
          <w:color w:val="FF0000"/>
          <w:kern w:val="0"/>
          <w:sz w:val="32"/>
          <w:szCs w:val="32"/>
          <w:lang w:val="en-US" w:eastAsia="zh-CN"/>
        </w:rPr>
        <w:br w:type="page"/>
      </w:r>
    </w:p>
    <w:p w14:paraId="575203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-WinCharSetFFFF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965FA"/>
    <w:rsid w:val="6B89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2025-07-21T02:31:00Z</dcterms:created>
  <dc:creator>种太阳</dc:creator>
  <cp:lastModifiedBy>种太阳</cp:lastModifiedBy>
  <dcterms:modified xsi:type="dcterms:W3CDTF">2025-07-21T02:32:03Z</dcterms:modified>
  <cp:revision>1</cp:revision>
</cp:coreProperties>
</file>